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ценка-качества-услуг"/>
    <w:p>
      <w:pPr>
        <w:pStyle w:val="Heading3"/>
      </w:pPr>
      <w:r>
        <w:t xml:space="preserve">Оценка качества услуг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Оценка качества услуг</w:t>
      </w:r>
    </w:p>
    <w:p>
      <w:pPr>
        <w:pStyle w:val="BodyText"/>
      </w:pPr>
      <w:hyperlink r:id="rId20">
        <w:r>
          <w:rPr>
            <w:rStyle w:val="Hyperlink"/>
          </w:rPr>
          <w:t xml:space="preserve">quality.mkrf.ru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http://cbsuzao.mos.ru/partners/detail/3647534.html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artners/detail/3647534.html" TargetMode="External" /><Relationship Type="http://schemas.openxmlformats.org/officeDocument/2006/relationships/hyperlink" Id="rId20" Target="http://quality.mkrf.ru/orgs/?org_type=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artners/detail/3647534.html" TargetMode="External" /><Relationship Type="http://schemas.openxmlformats.org/officeDocument/2006/relationships/hyperlink" Id="rId20" Target="http://quality.mkrf.ru/orgs/?org_type=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2023-08-16T00:05:44Z</dcterms:created>
  <dcterms:modified xsi:type="dcterms:W3CDTF">2023-08-16T00:05:44Z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