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5111b031e2527b3bd36fdc6c0360afde8a4a8"/>
    <w:p>
      <w:pPr>
        <w:pStyle w:val="Heading3"/>
      </w:pPr>
      <w:r>
        <w:t xml:space="preserve">Семинар «Управление личными финансами, семейный бюджет и персональное финансовое планирование»</w:t>
      </w:r>
    </w:p>
    <w:p>
      <w:pPr>
        <w:pStyle w:val="FirstParagraph"/>
      </w:pPr>
      <w:r>
        <w:t xml:space="preserve">24.10.2016</w:t>
      </w:r>
    </w:p>
    <w:p>
      <w:pPr>
        <w:pStyle w:val="BodyText"/>
      </w:pPr>
      <w:r>
        <w:t xml:space="preserve">Консультант-методист проекта Минфина России Н.Г.Федорова рассказала о правилах учета семейного бюджета с целью накопления средств на ближайшие и долгосрочные цели, о возможностях размещения денежных средств в банках и страховых компаниях, рисках, преимуществах, доходности, ответила на возникшие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http://cbsuzao.mos.ru/presscenter/activities-library/detail/4029094.html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29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29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2023-12-21T02:07:45Z</dcterms:created>
  <dcterms:modified xsi:type="dcterms:W3CDTF">2023-12-21T02:07:45Z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