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сии-славный-сын"/>
    <w:p>
      <w:pPr>
        <w:pStyle w:val="Heading3"/>
      </w:pPr>
      <w:r>
        <w:t xml:space="preserve">«России славный сын»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t xml:space="preserve">17 ноября 2016 года в ЦСО «Щербинский» методистом библиотеки №189 «Патриот» была проведена познавательная программа-портрет «России славный сын», приуроченная к 305-летию со дня рождения М.Ломоносова. Есть в истории люди, память о которых будет жить вечно. Могучие, величественные, значительные – так о них можно сказать. Таким столпом отечественной науки, культуры, просвещения стал Михайло Ломоносов, первый русский ученый, снискавший мировую славу.</w:t>
      </w:r>
      <w:r>
        <w:br/>
      </w:r>
      <w:r>
        <w:t xml:space="preserve">Такие встречи дают возможность не только сообщить научную, историческую, краеведческую информацию, но и поговорить с читателями о качествах личности, преодолевающей невероятные трудности на пути к поставленной цели, о жизни и труде во имя науки и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http://cbsuzao.mos.ru/presscenter/activities-library/detail/4223075.html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2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2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2024-10-07T07:59:20Z</dcterms:created>
  <dcterms:modified xsi:type="dcterms:W3CDTF">2024-10-07T07:59:20Z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