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иничкин-день"/>
    <w:p>
      <w:pPr>
        <w:pStyle w:val="Heading3"/>
      </w:pPr>
      <w:r>
        <w:t xml:space="preserve">«Синичкин день»</w:t>
      </w:r>
    </w:p>
    <w:p>
      <w:pPr>
        <w:pStyle w:val="FirstParagraph"/>
      </w:pPr>
      <w:r>
        <w:t xml:space="preserve">30.11.2016</w:t>
      </w:r>
    </w:p>
    <w:p>
      <w:pPr>
        <w:pStyle w:val="BodyText"/>
      </w:pPr>
      <w:r>
        <w:t xml:space="preserve">Несколько лет назад в России появился еще один экологический праздник – Синичкин день. Он создан по инициативе Союза охраны птиц России и отмечается 12 ноября.</w:t>
      </w:r>
      <w:r>
        <w:br/>
      </w:r>
      <w:r>
        <w:br/>
      </w:r>
      <w:r>
        <w:t xml:space="preserve">23 ноября в библиотеке № 196 состоялся, матер - класс по изготовлению птички в технике оригами. Получились птицы красочной расцветки, которые смело можно использовать для украшения своей комнаты.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http://cbsuzao.mos.ru/presscenter/activities-library/detail/4322214.html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322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322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2024-07-24T19:09:55Z</dcterms:created>
  <dcterms:modified xsi:type="dcterms:W3CDTF">2024-07-24T19:09:55Z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