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внение-на-подвиг"/>
    <w:p>
      <w:pPr>
        <w:pStyle w:val="Heading3"/>
      </w:pPr>
      <w:r>
        <w:t xml:space="preserve">«Равнение на подвиг»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t xml:space="preserve">5 декабря 2016 года вся страна отмечала 75-ю годовщину с начала контрнаступления советских войск под Москвой. Библиотека №192 также отметила эту дату. 9 декабря, в День героев Отечества, мы провели межрайонный конкурс чтецов «Равнение на подвиг». Ребята читали как стихи на тему Московской битвы, так и стихи поэтов-участников этого события. Как и в финале любого конкурса у нас были выбраны победители, но проигравших не было! Конкурс показал, что школьники умеют читать стихи, понимают суть, а также помнят и чтут историю своей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http://cbsuzao.mos.ru/presscenter/activities-library/detail/4415846.html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15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15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2025-07-26T07:52:47Z</dcterms:created>
  <dcterms:modified xsi:type="dcterms:W3CDTF">2025-07-26T07:52:47Z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