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воинской-славы-россии"/>
    <w:p>
      <w:pPr>
        <w:pStyle w:val="Heading3"/>
      </w:pPr>
      <w:r>
        <w:t xml:space="preserve">«День Воинской славы России»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t xml:space="preserve">Туляки гордятся своим городом, его героическим прошлым. Тула-город герой, город воинской славы России. Дети учащиеся нашей подшефной школы вместе с библиотекарем Сапожковой были на экскурсии в одном из лучших музеев мира - тульском музее оружия. Была очень интересная беседа об истории возникновения оружия от кустарных единоличных мастеров оружейной слободы до строительства тульского оружейного завода. Славная история тульского оружия. Современное оружие, спортивное и охотничье оружие, подарочные – эксклюзивные образцы оружия. Советуем всем, кто интересуется историей оружия, побывать в тульском музее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http://cbsuzao.mos.ru/presscenter/activities-library/detail/4829890.html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29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29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2024-07-24T14:35:11Z</dcterms:created>
  <dcterms:modified xsi:type="dcterms:W3CDTF">2024-07-24T14:35:11Z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