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добрые-сказки"/>
    <w:p>
      <w:pPr>
        <w:pStyle w:val="Heading3"/>
      </w:pPr>
      <w:r>
        <w:t xml:space="preserve">«Добрые сказки»</w:t>
      </w:r>
    </w:p>
    <w:p>
      <w:pPr>
        <w:pStyle w:val="FirstParagraph"/>
      </w:pPr>
      <w:r>
        <w:t xml:space="preserve">01.02.2017</w:t>
      </w:r>
    </w:p>
    <w:p>
      <w:pPr>
        <w:pStyle w:val="BodyText"/>
      </w:pPr>
      <w:r>
        <w:t xml:space="preserve">В нашей подшефной школе прошло литературное мероприятие «Добрые сказки Валентина Катаева», посвящённая юбилейной дате 120-летию писателя. Библиотекарь Сапожкова Н.В. провела литературную беседу о жизни и творчестве Валентина Петровича Катаева с просмотром кадров из мультфильма «Цветик-семицветик». Сравнительный анализ отрывков из художественного текста с кадрами из мультфильма. Викторина по сказкам Катаева с вручением призов.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http://cbsuzao.mos.ru/presscenter/activities-library/detail/4829905.html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48299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48299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2024-07-24T17:49:31Z</dcterms:created>
  <dcterms:modified xsi:type="dcterms:W3CDTF">2024-07-24T17:49:31Z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