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7514f489076fddf6ebed01f813a316b8bd867"/>
    <w:p>
      <w:pPr>
        <w:pStyle w:val="Heading3"/>
      </w:pPr>
      <w:r>
        <w:t xml:space="preserve">"И продолжает жить в потомках вечный Пушкин"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r>
        <w:t xml:space="preserve">Ко Дню памяти А.С.Пушкина в детском отделении библиотеки №172 (#библиотекиЮЗАО) состоялась презентация "И продолжает жить в потомках вечный Пушкин". Программа мероприятия была насыщенной: дети узнали из презентации о родных поэта, о его увлечениях в детстве, о поэтических вечерах в доме Пушкиных. Потом методист библиотеки Романова О.Н. почитала детям отрывок из "Сказки о царе Салтане" и предложила ответить на вопросы видео викторины "По следам сказок Пушкина...". Ребята ответили правильно на большинство вопросов! Порадовало, что сказки Пушкина читали все! Дети также ознакомились с книгами с выставки, приняли участие в игре-лото "Там по неведомым дорожкам.." и посмотрели мультфильм "Сказка о мертвой царевне и семи богатырях".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http://cbsuzao.mos.ru/presscenter/activities-library/detail/4940594.html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2024-07-24T16:00:51Z</dcterms:created>
  <dcterms:modified xsi:type="dcterms:W3CDTF">2024-07-24T16:00:51Z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