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де-труд-там-и-счастье"/>
    <w:p>
      <w:pPr>
        <w:pStyle w:val="Heading3"/>
      </w:pPr>
      <w:r>
        <w:t xml:space="preserve">«Где труд-там и счастье»</w:t>
      </w:r>
    </w:p>
    <w:p>
      <w:pPr>
        <w:pStyle w:val="FirstParagraph"/>
      </w:pPr>
      <w:r>
        <w:t xml:space="preserve">27.02.2017</w:t>
      </w:r>
    </w:p>
    <w:p>
      <w:pPr>
        <w:pStyle w:val="BodyText"/>
      </w:pPr>
      <w:r>
        <w:t xml:space="preserve">«Где труд-там и счастье» - под таким названием библиотека № 189 «Патриот» провела познавательную программу для третьеклассников 17 февраля. Ребята познакомились с понятиями «профессия» и «профессионал», «мастер своего дела « и «призвание». Мы постарались увлечь школьников многообразием выбора в современном мире профессий. Рассказ и видеоряд о востребованных профессиях, возможно станет первым шагом для них на пути к своей мечте.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http://cbsuzao.mos.ru/presscenter/activities-library/detail/5077395.html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0773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0773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2025-07-13T22:47:40Z</dcterms:created>
  <dcterms:modified xsi:type="dcterms:W3CDTF">2025-07-13T22:47:40Z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