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д-чарующей-лаской-твоею"/>
    <w:p>
      <w:pPr>
        <w:pStyle w:val="Heading3"/>
      </w:pPr>
      <w:r>
        <w:t xml:space="preserve">«Под чарующей лаской твоею»</w:t>
      </w:r>
    </w:p>
    <w:p>
      <w:pPr>
        <w:pStyle w:val="FirstParagraph"/>
      </w:pPr>
      <w:r>
        <w:t xml:space="preserve">14.03.2017</w:t>
      </w:r>
    </w:p>
    <w:p>
      <w:pPr>
        <w:pStyle w:val="BodyText"/>
      </w:pPr>
      <w:r>
        <w:t xml:space="preserve">11 марта в библиотеке № 179 (Вавилова,86) состоялся концерт лауреата международных конкурсов певицы Алины Цветковой. Вокальный вечер был назван «Под чарующей лаской твоею». В программу выступления вошли все самые лучшие романсы : «В лунном сиянии», «Хризантемы», «Гори, гори моя звезда», «Не уезжай ты мой голубчик» и многие другие. Высокий профессионализм исполнительницы, мягкая и задушевная манера исполнения покорили зрителей. Концерт прошел при полном аншлаге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http://cbsuzao.mos.ru/presscenter/activities-library/detail/5227409.html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227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2024-07-24T19:35:15Z</dcterms:created>
  <dcterms:modified xsi:type="dcterms:W3CDTF">2024-07-24T19:35:15Z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