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где-когда"/>
    <w:p>
      <w:pPr>
        <w:pStyle w:val="Heading3"/>
      </w:pPr>
      <w:r>
        <w:t xml:space="preserve">«Что, где, когда?»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t xml:space="preserve">А Вы были участником интеллектуальной игры «Что, где, когда?». Нет? Тогда приходите к нам, в библиотеку №189 «Патриот», где началась весенняя серия игр «Что, где, когда?».  14 марта 2017 года прошла первая игра в этом сезоне посвященная Всемирному дню писателя. Ребята из ГБУ ЦСПСиД «Гелиос» попробовали себя в роли знатоков и с успехом ответили на каверзные вопросы. Особенно детям понравилась секция Черный ящик и Бюро находок.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http://cbsuzao.mos.ru/presscenter/activities-library/detail/5238170.html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38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38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2024-07-24T08:57:14Z</dcterms:created>
  <dcterms:modified xsi:type="dcterms:W3CDTF">2024-07-24T08:57:14Z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