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тепиано"/>
    <w:p>
      <w:pPr>
        <w:pStyle w:val="Heading3"/>
      </w:pPr>
      <w:r>
        <w:t xml:space="preserve">"Фортепиано"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17 февраля любителям фортепианной музыки сделал подарок фонд им. В. Золотухина. Перед читателями библиотеки № 172 выступил молодой лауреат международных конкурсов Руслан Шайназаров. Прозвучали такие произведения, как «Чакона» Баха-Бузони, «Павана на смерть инфанты» Равеля, этюды №№ 5 и 12 и соната №1 Скрябина, а также «Баллада № 4» Шопена.</w:t>
      </w:r>
      <w:r>
        <w:br/>
      </w:r>
      <w:r>
        <w:t xml:space="preserve">    «Великолепное исполнение. Спасибо Руслану. Верим в его большое будущее большого музыканта»,- написала Нина Павловна Зареченская в Книге отзывов.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2024-07-24T10:42:43Z</dcterms:created>
  <dcterms:modified xsi:type="dcterms:W3CDTF">2024-07-24T10:42:43Z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