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д-в-истории-россии"/>
    <w:p>
      <w:pPr>
        <w:pStyle w:val="Heading3"/>
      </w:pPr>
      <w:r>
        <w:t xml:space="preserve">«1913 год в истории России»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За круглым столом, который прошел в воскресенье, 19 марта, были проанализированы события, предшествующие Первой мировой войне. Докладчик проанализировал исторический материал, связанный с «российским экономическим чудом» и «прорывом России» 1913 года, рассказал о мифах, с ними связанными.</w:t>
      </w:r>
      <w:r>
        <w:br/>
      </w:r>
      <w:r>
        <w:t xml:space="preserve">Много вопросов у собравшихся было связано с положением Российской Империи перед Первой мировой войной, главный из которых, почему события тех лет привели к 1917 г.? Почему военная помощь Англии, Франции, США, Японии, предоставленная Колчаку, Деникину, Юденичу, Миллеру, прямая иностранная военная интервенция не смогли сломить большевиков? Попытки осознать события Февраля и Октября продолжаются.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http://cbsuzao.mos.ru/presscenter/activities-library/detail/5398016.html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8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8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2024-07-24T23:45:12Z</dcterms:created>
  <dcterms:modified xsi:type="dcterms:W3CDTF">2024-07-24T23:45:12Z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