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ановление-семейных-отношений-в-ссср"/>
    <w:p>
      <w:pPr>
        <w:pStyle w:val="Heading3"/>
      </w:pPr>
      <w:r>
        <w:t xml:space="preserve">«Становление семейных отношений в СССР»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Очередная встреча за круглым столом состоялась в библиотеке №181 в воскресенье, 26 марта. Ее участники обсудили широкий круг вопросов, касающихся истории становления и развития брака и семьи в России.</w:t>
      </w:r>
      <w:r>
        <w:br/>
      </w:r>
      <w:r>
        <w:br/>
      </w:r>
      <w:r>
        <w:t xml:space="preserve">Докладчик рассказал слушателям о принципах законодательства и идеологии взаимоотношений полов в отношении семьи после революции 1917 года, дал интересный историко-социологический анализ становления семейных отношений в Советской России в период с 1917 по 1991 год. В заключение ответил на многочисленные вопросы собравшихся.</w:t>
      </w:r>
      <w:r>
        <w:br/>
      </w:r>
      <w:r>
        <w:t xml:space="preserve">Как всегда, встреча прошла в семейной обстановке, за чашкой чая.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http://cbsuzao.mos.ru/presscenter/activities-library/detail/5398033.html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8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8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2025-07-26T02:56:08Z</dcterms:created>
  <dcterms:modified xsi:type="dcterms:W3CDTF">2025-07-26T02:56:08Z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