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бедный-май"/>
    <w:p>
      <w:pPr>
        <w:pStyle w:val="Heading3"/>
      </w:pPr>
      <w:r>
        <w:t xml:space="preserve">"Победный май"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В библиотеке №189 "Патриот"состоялась историко-музыкальная программа "Победный май"для учащихся 1-х и 3-х классов ГБОУ Школа № 2109. Бывают события, которые со временем стираются из памяти народной, становятся достоянием архивов. Но есть события, значение которых с годами не только не уменьшается, а, напротив, с каждым новым десятилетием приобретают особую значимость, становятся бессмертными. К таким событиям относится победа нашего народа в Великой Отечественной войне.</w:t>
      </w:r>
      <w:r>
        <w:br/>
      </w:r>
      <w:r>
        <w:t xml:space="preserve">Прошло 72 года с того последнего военного дня, но не тускнеет от времени память о подвигах героев. 9 Мая – необычный праздник, это святой праздник!. Он в песнях, книгах, памятниках и картинах. Теме памяти, уважения ветеранам посвящена наша программа.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http://cbsuzao.mos.ru/presscenter/activities-library/detail/5893601.html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2024-07-24T08:27:57Z</dcterms:created>
  <dcterms:modified xsi:type="dcterms:W3CDTF">2024-07-24T08:27:57Z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