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ловари-и-люди"/>
    <w:p>
      <w:pPr>
        <w:pStyle w:val="Heading3"/>
      </w:pPr>
      <w:r>
        <w:t xml:space="preserve">«Словари и люди»</w:t>
      </w:r>
    </w:p>
    <w:p>
      <w:pPr>
        <w:pStyle w:val="FirstParagraph"/>
      </w:pPr>
      <w:r>
        <w:t xml:space="preserve">26.05.2017</w:t>
      </w:r>
    </w:p>
    <w:p>
      <w:pPr>
        <w:pStyle w:val="BodyText"/>
      </w:pPr>
      <w:r>
        <w:t xml:space="preserve">Словари – это явление культуры, память народа о своих исторических корнях. В России есть четыре фамилии, которые неизменно ассоциируютя со словами – И.И. Срезневский,  В.И.Даль, Д.Н. Ушаков, С.И.Ожегов. О жизни и подвижническом труде составителей «Словаря древнерусского языка», «Толкового словаря живого великорусского языка», «Толкового словаря русского языка», «Словаря русского языка» шла речь в сегодняшней беседе.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http://cbsuzao.mos.ru/presscenter/activities-library/detail/6045537.html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5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45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2024-07-24T19:16:40Z</dcterms:created>
  <dcterms:modified xsi:type="dcterms:W3CDTF">2024-07-24T19:16:40Z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