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месте-почитаем-вместе-поиграем"/>
    <w:p>
      <w:pPr>
        <w:pStyle w:val="Heading3"/>
      </w:pPr>
      <w:r>
        <w:t xml:space="preserve">"Вместе почитаем, вместе поиграем!"</w:t>
      </w:r>
    </w:p>
    <w:p>
      <w:pPr>
        <w:pStyle w:val="FirstParagraph"/>
      </w:pPr>
      <w:r>
        <w:t xml:space="preserve">24.07.2017</w:t>
      </w:r>
    </w:p>
    <w:p>
      <w:pPr>
        <w:pStyle w:val="BodyText"/>
      </w:pPr>
      <w:r>
        <w:t xml:space="preserve">Мероприятие затрагивало тему прав ребёнка и состояло из нескольких блоков. Первый - информационный (презентация об основных правах ребёнка, о Декларации прав человека, о Конвенции о правах ребёнка); игровой - игра "Разрешается и запрещается" (подвижное задание), игра "Сказочные" права" - о нарушении прав сказочных персонажей, отгадывание кроссворда "Мои права", ребусы, раскраски на тему семьи; и третий блок - чтение книги Алена Серра "Я имею право быть ребёнком".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http://cbsuzao.mos.ru/presscenter/activities-library/detail/6538505.html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5385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5385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2024-02-08T06:44:43Z</dcterms:created>
  <dcterms:modified xsi:type="dcterms:W3CDTF">2024-02-08T06:44:43Z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