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ски-жизни"/>
    <w:p>
      <w:pPr>
        <w:pStyle w:val="Heading3"/>
      </w:pPr>
      <w:r>
        <w:t xml:space="preserve">«Краски жизни»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В библиотеке продолжает свою работу выставка работ Анны Саргунас «Краски жизни». В гостиной 20 июля открылась вторая часть экспозиции – «Акварели». Первым посетителем стала Зоя Ивановна Саргунас, бабушка 10-летней художницы. Приятно думать, что дело рано ушедшего сына продолжает его дочь. Наташа – мама юного таланта – вручила Зое Ивановне букет роз, ведь это их общая радость – продолжение творческого начала! Анна проявляет недетскую усидчивость, занимаясь живописью. Яркие краски ее работ – краски жизни – привносят радость в наше существование. Четыре работы ее послужили оформлением новой программы методиста библиотеки М. Осмоловской – так что вторыми посетителями стали члены Клуба досуга старшего поколения, слушатели программы. А когда вечером в библиотеку пришли поисковики, они тоже с удовольствием заглянули на выставку.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http://cbsuzao.mos.ru/presscenter/activities-library/detail/6556116.html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6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6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2025-07-13T19:41:05Z</dcterms:created>
  <dcterms:modified xsi:type="dcterms:W3CDTF">2025-07-13T19:41:05Z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