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икий-год"/>
    <w:p>
      <w:pPr>
        <w:pStyle w:val="Heading3"/>
      </w:pPr>
      <w:r>
        <w:t xml:space="preserve">"1812.Великий год"</w:t>
      </w:r>
    </w:p>
    <w:p>
      <w:pPr>
        <w:pStyle w:val="FirstParagraph"/>
      </w:pPr>
      <w:r>
        <w:t xml:space="preserve">19.09.2017</w:t>
      </w:r>
    </w:p>
    <w:p>
      <w:pPr>
        <w:pStyle w:val="BodyText"/>
      </w:pPr>
      <w:r>
        <w:t xml:space="preserve">Библиотека №189 "Патриот" совместно с Музеем -панорамой "Бородинская битва" осуществила историко-познавательный проект "1812. Великий год". В музее библиотеки открыта одноименная выставка юбилейных изданий в честь 100-летия Отечественной войны 1812 года из коллекции Музея -панорамы "Бородинская битва"#1812panorama.ru.</w:t>
      </w:r>
      <w:r>
        <w:br/>
      </w:r>
      <w:r>
        <w:t xml:space="preserve">12, 14, 15 сентября в библиотеке №189 "Патриот" состоялись интерактивные экскурсионные программы для наших читателей, посвященные Бородинской битве, героям Отечественной войны 1812 года.</w:t>
      </w:r>
      <w:r>
        <w:br/>
      </w:r>
      <w:r>
        <w:t xml:space="preserve">Выставка дает возможность познакомиться с большим разнообразием изданий, выходивших в России к 100-летию Отечественной войны. Это сборники документов, монографии, научно- популярные очерки, биографии и, конечно, художественные произведения самых известных литераторов. Можно увидеть большой географический размах юбилейных воспоминаний: война 1812 года прокатилась отголосками по всей Российской империи, и память о ней была ( да и остается) жива в самых отдаленных ее уголках.</w:t>
      </w:r>
      <w:r>
        <w:br/>
      </w:r>
      <w:r>
        <w:t xml:space="preserve">Выставка работает до 8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http://cbsuzao.mos.ru/presscenter/activities-library/detail/6867261.html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67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67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2024-05-05T01:20:32Z</dcterms:created>
  <dcterms:modified xsi:type="dcterms:W3CDTF">2024-05-05T01:20:32Z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