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-москвы-в-русской-литературе"/>
    <w:p>
      <w:pPr>
        <w:pStyle w:val="Heading3"/>
      </w:pPr>
      <w:r>
        <w:t xml:space="preserve">«Образ Москвы в русской литературе»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8 сентября для посетителей Отделения дневного пребывания филиала «Обручевский» прозвучала программа «Образ Москвы в русской литературе». Поскольку программа начинается с Семеона Полоцкого, слушатели знакомятся с силлабическим стихосложением, классическая русская литература дает возможность поговорить о силлабо-тонической системе, Маяковский пользовался тоническим стихосложением, а вот к какому виду стихосложения отнести стихотворение Мандельштама «Полночь в Москве. Роскошно буддийское лето» - это еще вопрос. «Пора вам знать: я тоже современник, Я человек эпохи москвошвея. Смотрите, как на мне топорщится пиджак…»,- эти строки написаны ямбом, казалось бы, белый стих, но изменение длинны строки отправляет нас к вольному стиху, а перескоки размеров к…?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2025-06-22T07:42:54Z</dcterms:created>
  <dcterms:modified xsi:type="dcterms:W3CDTF">2025-06-22T07:42:54Z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