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од-чудный-город-древний"/>
    <w:p>
      <w:pPr>
        <w:pStyle w:val="Heading3"/>
      </w:pPr>
      <w:r>
        <w:t xml:space="preserve">«Город чудный, город древний»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13 сентября возобновилась работа Литературного абонемента библиотеки № 172 для воспитанников школы-интерната № 17. В этом году в учреждении меньше старшеклассников. Для них прозвучала программа «Город чудный, город древний», посвященная юбилею города. Мы начали свое знакомство со столицей со строк Ф. Глинки, а затем В. Брюсова. Мы строили ее от «мала деревянна града» до сегодняшнего Москва-сити, знакомились с раннемосковской архитектурой и деконструктивизмом 21 века. Разумеется, за одну встречу мы как бы пробежались по векам, но вполне ощутили и то, что «город древний» и то, что он «чудный»!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2024-07-23T02:24:06Z</dcterms:created>
  <dcterms:modified xsi:type="dcterms:W3CDTF">2024-07-23T02:24:06Z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