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ы-не-равнодушны"/>
    <w:p>
      <w:pPr>
        <w:pStyle w:val="Heading3"/>
      </w:pPr>
      <w:r>
        <w:t xml:space="preserve">"Мы не равнодушны!"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16 ноября 2017 года в Библиотеке № 195 ф1 прошло мероприятие "Мы не равнодушны!" для воспитанников детского сада "Жемчужина", которое было посвящено правам ребёнка. В познавательной и игровой форме ребята защищали нарушенные права литературных героев-детей.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https://www.facebook.com/biblioteka195/photos/a.764164677058109.1073741829.705500289591215/1514356925372210/?type=3&amp;theater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http://cbsuzao.mos.ru/presscenter/activities-library/detail/7014965.html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65.html" TargetMode="External" /><Relationship Type="http://schemas.openxmlformats.org/officeDocument/2006/relationships/hyperlink" Id="rId20" Target="https://www.facebook.com/biblioteka195/photos/a.764164677058109.1073741829.705500289591215/1514356925372210/?type=3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65.html" TargetMode="External" /><Relationship Type="http://schemas.openxmlformats.org/officeDocument/2006/relationships/hyperlink" Id="rId20" Target="https://www.facebook.com/biblioteka195/photos/a.764164677058109.1073741829.705500289591215/1514356925372210/?type=3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2023-11-11T10:13:46Z</dcterms:created>
  <dcterms:modified xsi:type="dcterms:W3CDTF">2023-11-11T10:13:46Z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