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ребряный-век"/>
    <w:p>
      <w:pPr>
        <w:pStyle w:val="Heading3"/>
      </w:pPr>
      <w:r>
        <w:t xml:space="preserve">«Серебряный век»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8 февраля для учащихся 11-го биологического класса школы № 46 прозвучала обзорная лекция «Серебряный век»</w:t>
      </w:r>
      <w:r>
        <w:br/>
      </w:r>
      <w:r>
        <w:br/>
      </w:r>
      <w:r>
        <w:t xml:space="preserve">Методист библиотеки № 172 рассказала о возникновении символизма в русской поэзии, о двух его направлениях, об особенностях акмеизма, футуризма и имажинизма. Рассказ сопровождался чтением стихотворений и презентацией.</w:t>
      </w:r>
      <w:r>
        <w:br/>
      </w:r>
      <w:r>
        <w:br/>
      </w:r>
      <w:r>
        <w:t xml:space="preserve">Лекция служит введением в изучение поэзии Серебряного века.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2024-05-20T12:10:44Z</dcterms:created>
  <dcterms:modified xsi:type="dcterms:W3CDTF">2024-05-20T12:10:44Z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