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ебряный-век"/>
    <w:p>
      <w:pPr>
        <w:pStyle w:val="Heading3"/>
      </w:pPr>
      <w:r>
        <w:t xml:space="preserve">«Серебряный век»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16 февраля в рамках работы Литературного абонемента для учащихся 11 класса школы № 46 состоялась лекция «Серебряный век».</w:t>
      </w:r>
      <w:r>
        <w:br/>
      </w:r>
      <w:r>
        <w:br/>
      </w:r>
      <w:r>
        <w:t xml:space="preserve">Методист библиотеки № 172 раскрыла сущность определения, используя работы литературоведов М. Гаспарова и Е. Эткинда, представила, опираясь на теоретические статьи В. Иванова, два направления в русском символизме, изложила сущность манифестов акмеистов, футуристов и имажинистов. Прозвучали произведения В. Соловьева, Д. Мережковского, З. Гиппиус, И. Анненского и других.</w:t>
      </w:r>
      <w:r>
        <w:br/>
      </w:r>
      <w:r>
        <w:br/>
      </w:r>
      <w:r>
        <w:t xml:space="preserve">Рассказ об отдельных представителях этого удивительного периода в русской литературе еще предстоит.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2023-07-31T23:13:51Z</dcterms:created>
  <dcterms:modified xsi:type="dcterms:W3CDTF">2023-07-31T23:13:51Z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