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единства"/>
    <w:p>
      <w:pPr>
        <w:pStyle w:val="Heading3"/>
      </w:pPr>
      <w:r>
        <w:t xml:space="preserve">"День единства"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В библиотеке №189 «Патриот» 2 и 6 ноября   состоялась познавательная игра «День единства», посвященная Дню согласия и единства - 4 ноября. Ученики 3-х и 5-х классов узнали историю этого праздника, имена героев, познакомились с книжной выставкой, посвященной событиям 1612 года и героям Отечества.</w:t>
      </w:r>
      <w:r>
        <w:br/>
      </w:r>
      <w:r>
        <w:br/>
      </w:r>
      <w:r>
        <w:t xml:space="preserve">А затем, разделившись на команды, сразились в историческом турнире «С гордостью о России». Турнир содержал вопросы и задания на знания истории, культуры и символов России. Завершив турнир ребята посетили наш музей, где познакомились с выставкой «Сквозь времена», посвященной Отечественным войнам в истории России.</w:t>
      </w:r>
      <w:r>
        <w:br/>
      </w:r>
      <w:r>
        <w:br/>
      </w:r>
      <w:r>
        <w:t xml:space="preserve">#библиотека189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http://cbsuzao.mos.ru/presscenter/activities-library/detail/7690031.html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2025-06-28T18:15:06Z</dcterms:created>
  <dcterms:modified xsi:type="dcterms:W3CDTF">2025-06-28T18:15:06Z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