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тние-литературные-читальни"/>
    <w:p>
      <w:pPr>
        <w:pStyle w:val="Heading3"/>
      </w:pPr>
      <w:r>
        <w:t xml:space="preserve">"Летние литературные читальни"</w:t>
      </w:r>
    </w:p>
    <w:p>
      <w:pPr>
        <w:pStyle w:val="FirstParagraph"/>
      </w:pPr>
      <w:r>
        <w:t xml:space="preserve">18.07.2019</w:t>
      </w:r>
    </w:p>
    <w:p>
      <w:pPr>
        <w:pStyle w:val="BodyText"/>
      </w:pPr>
      <w:r>
        <w:t xml:space="preserve">14 июля библиотека №196 участвовала в проекте "Летние литературные читальни" в Воронцовском парке.</w:t>
      </w:r>
      <w:r>
        <w:br/>
      </w:r>
      <w:r>
        <w:br/>
      </w:r>
      <w:r>
        <w:t xml:space="preserve">Были проведены мастер-классы по созданию закладки для любимой книги и изготовлению бумажного коллажа. А также дети познакомились с книгами о животных и узнали много нового о них.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#летняячитальня #воронцовскийпарк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http://cbsuzao.mos.ru/presscenter/activities-library/detail/8227257.html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27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27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2024-04-13T01:48:29Z</dcterms:created>
  <dcterms:modified xsi:type="dcterms:W3CDTF">2024-04-13T01:48:29Z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