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ой-мира-и-добра"/>
    <w:p>
      <w:pPr>
        <w:pStyle w:val="Heading3"/>
      </w:pPr>
      <w:r>
        <w:t xml:space="preserve">"Дорогой мира и добра"</w:t>
      </w:r>
    </w:p>
    <w:p>
      <w:pPr>
        <w:pStyle w:val="FirstParagraph"/>
      </w:pPr>
      <w:r>
        <w:t xml:space="preserve">05.09.2019</w:t>
      </w:r>
    </w:p>
    <w:p>
      <w:pPr>
        <w:pStyle w:val="BodyText"/>
      </w:pPr>
      <w:r>
        <w:t xml:space="preserve">Ко Дню солидарности в борьбе с терроризмом нашей библиотекой было проведено интерактивное мероприятие для школьников, включающее в себя презентацию и беседу о правилах безопасности и поведении при теракте и о том, что такое терроризм. В конце мероприятия ребята изготовили поделку из бумаги "Голубь мира" в память о детях Беслана.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#деньсолидарностивборьбестерроризмом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http://cbsuzao.mos.ru/presscenter/activities-library/detail/8331666.html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3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3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2024-02-10T23:49:20Z</dcterms:created>
  <dcterms:modified xsi:type="dcterms:W3CDTF">2024-02-10T23:49:20Z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